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46498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Style w:val="Strong"/>
          <w:rFonts w:asciiTheme="majorHAnsi" w:eastAsiaTheme="minorHAnsi" w:hAnsiTheme="majorHAnsi"/>
          <w:color w:val="212121"/>
          <w:sz w:val="20"/>
          <w:szCs w:val="20"/>
        </w:rPr>
      </w:pPr>
      <w:r w:rsidRPr="00B83EF5">
        <w:rPr>
          <w:rStyle w:val="Strong"/>
          <w:rFonts w:asciiTheme="majorHAnsi" w:eastAsiaTheme="minorHAnsi" w:hAnsiTheme="majorHAnsi"/>
          <w:color w:val="212121"/>
          <w:sz w:val="20"/>
          <w:szCs w:val="20"/>
        </w:rPr>
        <w:t>FAR CLAUSES AND PROVISIONS</w:t>
      </w:r>
    </w:p>
    <w:p w14:paraId="5E53FBF3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</w:p>
    <w:p w14:paraId="56F58639" w14:textId="235B6DB8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52.204-7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 xml:space="preserve">System for Award Maintenance </w:t>
      </w:r>
    </w:p>
    <w:p w14:paraId="242B1698" w14:textId="5C6DE3E9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52.204-9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Personal Identity Verification of Contractor Personnel</w:t>
      </w:r>
    </w:p>
    <w:p w14:paraId="240E8F8D" w14:textId="406A5F56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52.204-13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SAM Maintenance</w:t>
      </w:r>
    </w:p>
    <w:p w14:paraId="5DA5CEE4" w14:textId="61232038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52.204-19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Incorporation by Reference of Representations and Certifications</w:t>
      </w:r>
    </w:p>
    <w:p w14:paraId="238060BD" w14:textId="4EC81C64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52.211-14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Notice of Priority Rating</w:t>
      </w:r>
    </w:p>
    <w:p w14:paraId="0F0C078F" w14:textId="6FFAA035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52.211-15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 xml:space="preserve">Defense Priority </w:t>
      </w:r>
      <w:proofErr w:type="gramStart"/>
      <w:r w:rsidR="007938AE" w:rsidRPr="00B83EF5">
        <w:rPr>
          <w:rFonts w:asciiTheme="majorHAnsi" w:hAnsiTheme="majorHAnsi"/>
          <w:sz w:val="20"/>
          <w:szCs w:val="20"/>
        </w:rPr>
        <w:t>And</w:t>
      </w:r>
      <w:proofErr w:type="gramEnd"/>
      <w:r w:rsidR="007938AE" w:rsidRPr="00B83EF5">
        <w:rPr>
          <w:rFonts w:asciiTheme="majorHAnsi" w:hAnsiTheme="majorHAnsi"/>
          <w:sz w:val="20"/>
          <w:szCs w:val="20"/>
        </w:rPr>
        <w:t xml:space="preserve"> Allocation Requirements</w:t>
      </w:r>
    </w:p>
    <w:p w14:paraId="70DD9096" w14:textId="0260F047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52.211-17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Delivery of Excess Quantities</w:t>
      </w:r>
    </w:p>
    <w:p w14:paraId="7F00CCB7" w14:textId="3A347681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52.212-1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Instructions to Offerors - Commercial Products and Commercial Services</w:t>
      </w:r>
    </w:p>
    <w:p w14:paraId="5CBA7CFE" w14:textId="7441AC6C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contextualSpacing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52.212-3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Offeror Reps and Certs - Commercial Products and Commercial Services</w:t>
      </w:r>
    </w:p>
    <w:p w14:paraId="795A077E" w14:textId="50E90E5A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contextualSpacing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52.212-4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Contract Terms and Conditions – Commercial Items</w:t>
      </w:r>
    </w:p>
    <w:p w14:paraId="304B20F3" w14:textId="183CA96B" w:rsidR="007938AE" w:rsidRPr="009B374B" w:rsidRDefault="007938AE" w:rsidP="009B374B">
      <w:pPr>
        <w:pStyle w:val="NormalWeb"/>
        <w:shd w:val="clear" w:color="auto" w:fill="F9F9F9"/>
        <w:spacing w:before="0" w:beforeAutospacing="0" w:after="0" w:afterAutospacing="0" w:line="360" w:lineRule="auto"/>
        <w:ind w:left="1440" w:hanging="1440"/>
        <w:contextualSpacing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52.223</w:t>
      </w:r>
      <w:r w:rsidR="00826E13" w:rsidRPr="00B83EF5">
        <w:rPr>
          <w:rFonts w:asciiTheme="majorHAnsi" w:hAnsiTheme="majorHAnsi"/>
          <w:sz w:val="20"/>
          <w:szCs w:val="20"/>
        </w:rPr>
        <w:t>-22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Sustainable Products and Services (DEVIATION 2025-O0004) in lieu of clause at FAR 52.223-23.</w:t>
      </w:r>
    </w:p>
    <w:p w14:paraId="4D3BE8C3" w14:textId="56FB4DD1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ind w:left="1440" w:hanging="1440"/>
        <w:contextualSpacing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52.225-25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Prohibition on Contracting with Entities Engaging in Certain Activities or Transactions Relation to Iran-Reps and Certs</w:t>
      </w:r>
    </w:p>
    <w:p w14:paraId="0E5D5C8E" w14:textId="0A377506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52.232-39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Unenforceability of Unauthorized Obligations</w:t>
      </w:r>
    </w:p>
    <w:p w14:paraId="2EB473A7" w14:textId="41356E9A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52.233-2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Service of Protest</w:t>
      </w:r>
    </w:p>
    <w:p w14:paraId="5BC58CC2" w14:textId="151534CE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52.242-13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Bankruptcy</w:t>
      </w:r>
    </w:p>
    <w:p w14:paraId="44B5C611" w14:textId="133AF49D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52.242-15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Stop Work Order</w:t>
      </w:r>
    </w:p>
    <w:p w14:paraId="0C7C60FB" w14:textId="27C97285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52.243-1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Changes Fixed Price</w:t>
      </w:r>
    </w:p>
    <w:p w14:paraId="1AA138C1" w14:textId="24FDB7DC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52.246-1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Contractor Inspection Requirements</w:t>
      </w:r>
    </w:p>
    <w:p w14:paraId="360B071A" w14:textId="2817DDF4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52.247-34</w:t>
      </w:r>
      <w:r w:rsidR="007938AE" w:rsidRPr="00B83EF5">
        <w:rPr>
          <w:rFonts w:asciiTheme="majorHAnsi" w:hAnsiTheme="majorHAnsi"/>
          <w:sz w:val="20"/>
          <w:szCs w:val="20"/>
        </w:rPr>
        <w:t xml:space="preserve"> 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F.O.B-Destination</w:t>
      </w:r>
    </w:p>
    <w:p w14:paraId="601C32C1" w14:textId="23449FD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52.252-1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Solicitation Provisions Incorporated by Reference</w:t>
      </w:r>
    </w:p>
    <w:p w14:paraId="34D40CCD" w14:textId="3769E4B2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52.252-2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Clauses Incorporated by Reference</w:t>
      </w:r>
    </w:p>
    <w:p w14:paraId="6B54575B" w14:textId="3B998873" w:rsidR="007938AE" w:rsidRPr="00A25E04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Style w:val="Strong"/>
          <w:rFonts w:asciiTheme="majorHAnsi" w:hAnsiTheme="majorHAnsi"/>
          <w:b w:val="0"/>
          <w:bCs w:val="0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52.253-1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Computer Generated Forms</w:t>
      </w:r>
    </w:p>
    <w:p w14:paraId="574A460A" w14:textId="4574468E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52.203-19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 xml:space="preserve">Prohibition on Requiring Certain Internal Confidentiality Agreements or Statements </w:t>
      </w:r>
    </w:p>
    <w:p w14:paraId="576DC8BF" w14:textId="4A857022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ind w:left="1440" w:hanging="1440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52.204-23</w:t>
      </w:r>
      <w:r w:rsidR="007938AE" w:rsidRPr="00B83EF5">
        <w:rPr>
          <w:rFonts w:asciiTheme="majorHAnsi" w:hAnsiTheme="majorHAnsi"/>
          <w:sz w:val="20"/>
          <w:szCs w:val="20"/>
        </w:rPr>
        <w:t xml:space="preserve"> 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Prohibition on Contracting for Hardware, Software, and Services Developed or Provided by Kaspersky Lab and Other Covered Entities</w:t>
      </w:r>
    </w:p>
    <w:p w14:paraId="29BB1C6F" w14:textId="2566E3ED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ind w:left="1440" w:hanging="1440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52.204-25</w:t>
      </w:r>
      <w:r w:rsidR="007938AE" w:rsidRPr="00B83EF5">
        <w:rPr>
          <w:rFonts w:asciiTheme="majorHAnsi" w:hAnsiTheme="majorHAnsi"/>
          <w:sz w:val="20"/>
          <w:szCs w:val="20"/>
        </w:rPr>
        <w:t xml:space="preserve"> 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Prohibition on Contracting for Certain Telecommunications and Video Surveillance Services or Equipment</w:t>
      </w:r>
    </w:p>
    <w:p w14:paraId="0A3E8806" w14:textId="42F7FD65" w:rsidR="007938AE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52.209-10</w:t>
      </w:r>
      <w:r w:rsidR="007938AE" w:rsidRPr="00B83EF5">
        <w:rPr>
          <w:rFonts w:asciiTheme="majorHAnsi" w:hAnsiTheme="majorHAnsi"/>
          <w:sz w:val="20"/>
          <w:szCs w:val="20"/>
        </w:rPr>
        <w:t xml:space="preserve"> </w:t>
      </w:r>
      <w:r w:rsidRPr="00B83EF5">
        <w:rPr>
          <w:rFonts w:asciiTheme="majorHAnsi" w:hAnsiTheme="majorHAnsi"/>
          <w:sz w:val="20"/>
          <w:szCs w:val="20"/>
        </w:rPr>
        <w:tab/>
      </w:r>
      <w:r w:rsidR="007938AE" w:rsidRPr="00B83EF5">
        <w:rPr>
          <w:rFonts w:asciiTheme="majorHAnsi" w:hAnsiTheme="majorHAnsi"/>
          <w:sz w:val="20"/>
          <w:szCs w:val="20"/>
        </w:rPr>
        <w:t>Prohibition on Contracting with Inverted Domestic Corporations</w:t>
      </w:r>
    </w:p>
    <w:p w14:paraId="1BF4FC6A" w14:textId="693C8122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52.232-40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Providing Accelerated Payments to Small Business Subcontractors</w:t>
      </w:r>
    </w:p>
    <w:p w14:paraId="208424C2" w14:textId="7AE3712D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52.233-3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Protest After Award</w:t>
      </w:r>
    </w:p>
    <w:p w14:paraId="0882ED70" w14:textId="26C710FD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52.233-4 </w:t>
      </w:r>
      <w:r w:rsidR="00826E13" w:rsidRPr="00B83EF5">
        <w:rPr>
          <w:rFonts w:asciiTheme="majorHAnsi" w:hAnsiTheme="majorHAnsi"/>
          <w:sz w:val="20"/>
          <w:szCs w:val="20"/>
        </w:rPr>
        <w:tab/>
      </w:r>
      <w:r w:rsidRPr="00B83EF5">
        <w:rPr>
          <w:rFonts w:asciiTheme="majorHAnsi" w:hAnsiTheme="majorHAnsi"/>
          <w:sz w:val="20"/>
          <w:szCs w:val="20"/>
        </w:rPr>
        <w:t>Applicable Law for Breach of Contract Claim</w:t>
      </w:r>
    </w:p>
    <w:p w14:paraId="65A6C45C" w14:textId="0AF48EBC" w:rsidR="00826E13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52.203-15</w:t>
      </w:r>
      <w:r w:rsidRPr="00B83EF5">
        <w:rPr>
          <w:rFonts w:asciiTheme="majorHAnsi" w:hAnsiTheme="majorHAnsi"/>
          <w:sz w:val="20"/>
          <w:szCs w:val="20"/>
        </w:rPr>
        <w:tab/>
        <w:t>Whistleblower Protections when using recovery act funds</w:t>
      </w:r>
    </w:p>
    <w:p w14:paraId="12D3746E" w14:textId="42C2A9D3" w:rsidR="00826E13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52.204-27</w:t>
      </w:r>
      <w:r w:rsidRPr="00B83EF5">
        <w:rPr>
          <w:rFonts w:asciiTheme="majorHAnsi" w:hAnsiTheme="majorHAnsi"/>
          <w:sz w:val="20"/>
          <w:szCs w:val="20"/>
        </w:rPr>
        <w:tab/>
        <w:t xml:space="preserve">Prohibition on a ByteDance Covered Application </w:t>
      </w:r>
      <w:r w:rsidRPr="00B83EF5">
        <w:rPr>
          <w:rFonts w:asciiTheme="majorHAnsi" w:hAnsiTheme="majorHAnsi"/>
          <w:sz w:val="20"/>
          <w:szCs w:val="20"/>
        </w:rPr>
        <w:tab/>
      </w:r>
    </w:p>
    <w:p w14:paraId="55264D4B" w14:textId="04A0F17D" w:rsidR="00826E13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52.204-30</w:t>
      </w:r>
      <w:r w:rsidRPr="00B83EF5">
        <w:rPr>
          <w:rFonts w:asciiTheme="majorHAnsi" w:hAnsiTheme="majorHAnsi"/>
          <w:sz w:val="20"/>
          <w:szCs w:val="20"/>
        </w:rPr>
        <w:tab/>
        <w:t>FASCSA Federal Acquisition Supply Chain Security Act Orders-Prohibition</w:t>
      </w:r>
      <w:r w:rsidRPr="00B83EF5">
        <w:rPr>
          <w:rFonts w:asciiTheme="majorHAnsi" w:hAnsiTheme="majorHAnsi"/>
          <w:sz w:val="20"/>
          <w:szCs w:val="20"/>
        </w:rPr>
        <w:tab/>
      </w:r>
    </w:p>
    <w:p w14:paraId="12145F77" w14:textId="77777777" w:rsidR="00826E13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52.222-50</w:t>
      </w:r>
      <w:r w:rsidRPr="00B83EF5">
        <w:rPr>
          <w:rFonts w:asciiTheme="majorHAnsi" w:hAnsiTheme="majorHAnsi"/>
          <w:sz w:val="20"/>
          <w:szCs w:val="20"/>
        </w:rPr>
        <w:tab/>
        <w:t>Combating Trafficking in Persons</w:t>
      </w:r>
      <w:r w:rsidRPr="00B83EF5">
        <w:rPr>
          <w:rFonts w:asciiTheme="majorHAnsi" w:hAnsiTheme="majorHAnsi"/>
          <w:sz w:val="20"/>
          <w:szCs w:val="20"/>
        </w:rPr>
        <w:tab/>
        <w:t>Both Prime and Sub</w:t>
      </w:r>
    </w:p>
    <w:p w14:paraId="23D816D6" w14:textId="0EB8A5D2" w:rsidR="00826E13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lastRenderedPageBreak/>
        <w:t>52.223-11</w:t>
      </w:r>
      <w:r w:rsidRPr="00B83EF5">
        <w:rPr>
          <w:rFonts w:asciiTheme="majorHAnsi" w:hAnsiTheme="majorHAnsi"/>
          <w:sz w:val="20"/>
          <w:szCs w:val="20"/>
        </w:rPr>
        <w:tab/>
        <w:t>Ozone Depleting Substances</w:t>
      </w:r>
      <w:r w:rsidRPr="00B83EF5">
        <w:rPr>
          <w:rFonts w:asciiTheme="majorHAnsi" w:hAnsiTheme="majorHAnsi"/>
          <w:sz w:val="20"/>
          <w:szCs w:val="20"/>
        </w:rPr>
        <w:tab/>
      </w:r>
    </w:p>
    <w:p w14:paraId="1C9FF118" w14:textId="396CFA38" w:rsidR="00826E13" w:rsidRPr="00B83EF5" w:rsidRDefault="00826E13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>52.225-13</w:t>
      </w:r>
      <w:r w:rsidRPr="00B83EF5">
        <w:rPr>
          <w:rFonts w:asciiTheme="majorHAnsi" w:hAnsiTheme="majorHAnsi"/>
          <w:sz w:val="20"/>
          <w:szCs w:val="20"/>
        </w:rPr>
        <w:tab/>
        <w:t>Restriction on Certain Foreign Purchases</w:t>
      </w:r>
      <w:r w:rsidRPr="00B83EF5">
        <w:rPr>
          <w:rFonts w:asciiTheme="majorHAnsi" w:hAnsiTheme="majorHAnsi"/>
          <w:sz w:val="20"/>
          <w:szCs w:val="20"/>
        </w:rPr>
        <w:tab/>
      </w:r>
    </w:p>
    <w:p w14:paraId="63D0D982" w14:textId="0FEB5E51" w:rsidR="007938AE" w:rsidRPr="00B83EF5" w:rsidRDefault="007938AE" w:rsidP="00826E13">
      <w:pPr>
        <w:spacing w:line="360" w:lineRule="auto"/>
        <w:rPr>
          <w:rFonts w:asciiTheme="majorHAnsi" w:hAnsiTheme="majorHAnsi"/>
          <w:color w:val="212121"/>
          <w:sz w:val="20"/>
          <w:szCs w:val="20"/>
        </w:rPr>
      </w:pPr>
    </w:p>
    <w:p w14:paraId="3D13AC60" w14:textId="7A88EA58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eastAsiaTheme="minorHAnsi" w:hAnsiTheme="majorHAnsi"/>
          <w:b/>
          <w:bCs/>
          <w:color w:val="212121"/>
          <w:sz w:val="20"/>
          <w:szCs w:val="20"/>
        </w:rPr>
      </w:pPr>
      <w:r w:rsidRPr="00B83EF5">
        <w:rPr>
          <w:rStyle w:val="Strong"/>
          <w:rFonts w:asciiTheme="majorHAnsi" w:eastAsiaTheme="minorHAnsi" w:hAnsiTheme="majorHAnsi"/>
          <w:color w:val="212121"/>
          <w:sz w:val="20"/>
          <w:szCs w:val="20"/>
        </w:rPr>
        <w:t>DFARS CLAUSES AND PROVISIONS</w:t>
      </w:r>
    </w:p>
    <w:p w14:paraId="36C8C1B5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252.203-7000 Requirements Relating to Compensation of Former DoD Officials,</w:t>
      </w:r>
    </w:p>
    <w:p w14:paraId="4EBC06A2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252.203-7002, Requirement to Inform Employees of Whistleblower Rights</w:t>
      </w:r>
    </w:p>
    <w:p w14:paraId="1E575270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252.203-7005 Representation Relating to Compensation of Former DoD Officials</w:t>
      </w:r>
    </w:p>
    <w:p w14:paraId="17026782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252.204-7003. Control of Government Personnel Work Product</w:t>
      </w:r>
    </w:p>
    <w:p w14:paraId="5249B161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252.204-7004 Antiterrorism Awareness Training for Contractors.</w:t>
      </w:r>
    </w:p>
    <w:p w14:paraId="7026B731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 xml:space="preserve">252.204-7008 Compliance </w:t>
      </w:r>
      <w:proofErr w:type="gramStart"/>
      <w:r w:rsidRPr="00B83EF5">
        <w:rPr>
          <w:rFonts w:asciiTheme="majorHAnsi" w:hAnsiTheme="majorHAnsi"/>
          <w:color w:val="212121"/>
          <w:sz w:val="20"/>
          <w:szCs w:val="20"/>
        </w:rPr>
        <w:t>With</w:t>
      </w:r>
      <w:proofErr w:type="gramEnd"/>
      <w:r w:rsidRPr="00B83EF5">
        <w:rPr>
          <w:rFonts w:asciiTheme="majorHAnsi" w:hAnsiTheme="majorHAnsi"/>
          <w:color w:val="212121"/>
          <w:sz w:val="20"/>
          <w:szCs w:val="20"/>
        </w:rPr>
        <w:t xml:space="preserve"> Safeguarding Covered Defense Information Controls</w:t>
      </w:r>
    </w:p>
    <w:p w14:paraId="184ED4A7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252.204-7009 Limitations on the Use or Disclosure of Third-Party Contractor Reported Cyber Incident Information</w:t>
      </w:r>
    </w:p>
    <w:p w14:paraId="2340DC44" w14:textId="168257B3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 xml:space="preserve">252.204-7012, Safeguarding Covered Defense Information and Cyber Incident Reporting (May 2024) (Deviation 2024-O0013) </w:t>
      </w:r>
    </w:p>
    <w:p w14:paraId="0A4EEF21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252.204-7015, Disclosure of Information to Litigation Support Contractors</w:t>
      </w:r>
    </w:p>
    <w:p w14:paraId="3D52CBD6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252-204-7017, Prohibition on the Acquisition of Covered Defense Telecommunications Equipment or Services-Representation</w:t>
      </w:r>
    </w:p>
    <w:p w14:paraId="2C62A03E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252.204-7018, Prohibition on the Acquisition of Covered Defense Telecommunications Equipment or Services.</w:t>
      </w:r>
    </w:p>
    <w:p w14:paraId="170ABC88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252.204-7024 Notice on the Use of the Supplier Performance Risk System</w:t>
      </w:r>
    </w:p>
    <w:p w14:paraId="11EF6C6D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252.209-7999, Representation by Corporations regarding an Unpaid Delinquent Tax Liability</w:t>
      </w:r>
    </w:p>
    <w:p w14:paraId="2E482B7C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252.213-7000 Notice to Prospective Suppliers on Use of Supplier Performance Risk System in Past Performance Evaluations.</w:t>
      </w:r>
    </w:p>
    <w:p w14:paraId="4EBEE408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252.223-7006, Prohibition on Storage, Treatment, and Disposal of Toxic or Hazardous Materials.</w:t>
      </w:r>
    </w:p>
    <w:p w14:paraId="4D2C6B27" w14:textId="77777777" w:rsidR="003B45FF" w:rsidRPr="00B83EF5" w:rsidRDefault="007938AE" w:rsidP="003B45FF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252.223-</w:t>
      </w:r>
      <w:proofErr w:type="gramStart"/>
      <w:r w:rsidRPr="00B83EF5">
        <w:rPr>
          <w:rFonts w:asciiTheme="majorHAnsi" w:hAnsiTheme="majorHAnsi"/>
          <w:color w:val="212121"/>
          <w:sz w:val="20"/>
          <w:szCs w:val="20"/>
        </w:rPr>
        <w:t>7008  Prohibition</w:t>
      </w:r>
      <w:proofErr w:type="gramEnd"/>
      <w:r w:rsidRPr="00B83EF5">
        <w:rPr>
          <w:rFonts w:asciiTheme="majorHAnsi" w:hAnsiTheme="majorHAnsi"/>
          <w:color w:val="212121"/>
          <w:sz w:val="20"/>
          <w:szCs w:val="20"/>
        </w:rPr>
        <w:t xml:space="preserve"> of Hexavalent Chromium</w:t>
      </w:r>
    </w:p>
    <w:p w14:paraId="7EBECCCB" w14:textId="77777777" w:rsidR="003B45FF" w:rsidRPr="00B83EF5" w:rsidRDefault="007938AE" w:rsidP="003B45FF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252.225-7048, Export Controlled Items</w:t>
      </w:r>
    </w:p>
    <w:p w14:paraId="4CDC8646" w14:textId="5A3A042B" w:rsidR="007938AE" w:rsidRPr="00B83EF5" w:rsidRDefault="007938AE" w:rsidP="003B45FF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252.225-7059 Prohibition on Certain Procurements from the Xinjiang Uyghur Autonomous Region - Representation</w:t>
      </w:r>
    </w:p>
    <w:p w14:paraId="431819CD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252.225-7060 Prohibition on Certain Procurements from the Xinjiang Uyghur Autonomous Region</w:t>
      </w:r>
    </w:p>
    <w:p w14:paraId="0EA2964E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252.231-7000, Supplemental Cost Principles.</w:t>
      </w:r>
    </w:p>
    <w:p w14:paraId="0E6CF718" w14:textId="16BBFDEB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252.232-7003, Electronic Submission of Payment Requests</w:t>
      </w:r>
    </w:p>
    <w:p w14:paraId="05501582" w14:textId="03FA49DF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252.232-7006, Wide Area Workflow Payment Instructions</w:t>
      </w:r>
    </w:p>
    <w:p w14:paraId="6C55E222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252.232-7010, Levies on Contract Payments</w:t>
      </w:r>
    </w:p>
    <w:p w14:paraId="35D11E40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252.243-7001, Pricing of Contract Modifications</w:t>
      </w:r>
    </w:p>
    <w:p w14:paraId="3282464E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252.243-7002, Requests for Equitable Adjustment</w:t>
      </w:r>
    </w:p>
    <w:p w14:paraId="4ACFFBFF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252.244-7000, Subcontracts for Commercial Items</w:t>
      </w:r>
    </w:p>
    <w:p w14:paraId="0722EE42" w14:textId="40777E9C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 xml:space="preserve">252.247-7023, Transportation of Supplies </w:t>
      </w:r>
      <w:proofErr w:type="gramStart"/>
      <w:r w:rsidRPr="00B83EF5">
        <w:rPr>
          <w:rFonts w:asciiTheme="majorHAnsi" w:hAnsiTheme="majorHAnsi"/>
          <w:color w:val="212121"/>
          <w:sz w:val="20"/>
          <w:szCs w:val="20"/>
        </w:rPr>
        <w:t>By</w:t>
      </w:r>
      <w:proofErr w:type="gramEnd"/>
      <w:r w:rsidRPr="00B83EF5">
        <w:rPr>
          <w:rFonts w:asciiTheme="majorHAnsi" w:hAnsiTheme="majorHAnsi"/>
          <w:color w:val="212121"/>
          <w:sz w:val="20"/>
          <w:szCs w:val="20"/>
        </w:rPr>
        <w:t xml:space="preserve"> Sea</w:t>
      </w:r>
    </w:p>
    <w:p w14:paraId="621B16E4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Note: Vendor shall list the country of origin for each line item.</w:t>
      </w:r>
    </w:p>
    <w:p w14:paraId="444A1C84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</w:p>
    <w:p w14:paraId="0962986B" w14:textId="4128A758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Style w:val="Strong"/>
          <w:rFonts w:asciiTheme="majorHAnsi" w:eastAsiaTheme="minorHAnsi" w:hAnsiTheme="majorHAnsi"/>
          <w:color w:val="212121"/>
          <w:sz w:val="20"/>
          <w:szCs w:val="20"/>
        </w:rPr>
        <w:lastRenderedPageBreak/>
        <w:t>DLAD CLAUSES AND PROVISIONS (See Attachment for Full Text)</w:t>
      </w:r>
      <w:r w:rsidRPr="00B83EF5">
        <w:rPr>
          <w:rFonts w:asciiTheme="majorHAnsi" w:hAnsiTheme="majorHAnsi"/>
          <w:color w:val="212121"/>
          <w:sz w:val="20"/>
          <w:szCs w:val="20"/>
        </w:rPr>
        <w:br/>
        <w:t>5452.233-9001, Disputes:  Agreement to Use Alternative Disputes Resolution</w:t>
      </w:r>
    </w:p>
    <w:p w14:paraId="267DF6E5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</w:p>
    <w:p w14:paraId="4975879B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Style w:val="Strong"/>
          <w:rFonts w:asciiTheme="majorHAnsi" w:eastAsiaTheme="minorHAnsi" w:hAnsiTheme="majorHAnsi"/>
          <w:color w:val="212121"/>
          <w:sz w:val="20"/>
          <w:szCs w:val="20"/>
        </w:rPr>
        <w:t>DLA PROCUREMENT NOTES (See Attachment for Full Text)</w:t>
      </w:r>
    </w:p>
    <w:p w14:paraId="7F06303B" w14:textId="63318864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color w:val="FF0000"/>
          <w:sz w:val="20"/>
          <w:szCs w:val="20"/>
        </w:rPr>
      </w:pPr>
      <w:r w:rsidRPr="00B83EF5">
        <w:rPr>
          <w:rFonts w:asciiTheme="majorHAnsi" w:hAnsiTheme="majorHAnsi"/>
          <w:bCs/>
          <w:color w:val="000000"/>
          <w:sz w:val="20"/>
          <w:szCs w:val="20"/>
        </w:rPr>
        <w:t>C01 Superseded Part Numbered Items (SEP 2016)</w:t>
      </w:r>
    </w:p>
    <w:p w14:paraId="2B7534E8" w14:textId="77777777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color w:val="000000"/>
          <w:sz w:val="20"/>
          <w:szCs w:val="20"/>
        </w:rPr>
      </w:pPr>
      <w:r w:rsidRPr="00B83EF5">
        <w:rPr>
          <w:rFonts w:asciiTheme="majorHAnsi" w:hAnsiTheme="majorHAnsi"/>
          <w:bCs/>
          <w:color w:val="000000"/>
          <w:sz w:val="20"/>
          <w:szCs w:val="20"/>
        </w:rPr>
        <w:t>C02 Manufacturing Phase-Out or Discontinuation of Production, Diminishing Sources, and Obsolete Materials or Components (DEC 2016)</w:t>
      </w:r>
    </w:p>
    <w:p w14:paraId="4A7B6A4B" w14:textId="77777777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color w:val="000000"/>
          <w:sz w:val="20"/>
          <w:szCs w:val="20"/>
        </w:rPr>
      </w:pPr>
      <w:r w:rsidRPr="00B83EF5">
        <w:rPr>
          <w:rFonts w:asciiTheme="majorHAnsi" w:hAnsiTheme="majorHAnsi"/>
          <w:bCs/>
          <w:color w:val="000000"/>
          <w:sz w:val="20"/>
          <w:szCs w:val="20"/>
        </w:rPr>
        <w:t>C03 Contractor Retention of Supply Chain Traceability Documentation (MAR 2023)</w:t>
      </w:r>
    </w:p>
    <w:p w14:paraId="58FC34EA" w14:textId="77777777" w:rsidR="003B45FF" w:rsidRPr="00B83EF5" w:rsidRDefault="003B45FF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sz w:val="20"/>
          <w:szCs w:val="20"/>
        </w:rPr>
      </w:pPr>
      <w:r w:rsidRPr="00B83EF5">
        <w:rPr>
          <w:rFonts w:asciiTheme="majorHAnsi" w:hAnsiTheme="majorHAnsi"/>
          <w:sz w:val="20"/>
          <w:szCs w:val="20"/>
        </w:rPr>
        <w:t xml:space="preserve">C08 Tailored Logistics Support Purchasing Reviews </w:t>
      </w:r>
    </w:p>
    <w:p w14:paraId="348810FC" w14:textId="5AD22AF5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r w:rsidRPr="00B83EF5">
        <w:rPr>
          <w:rFonts w:asciiTheme="majorHAnsi" w:hAnsiTheme="majorHAnsi"/>
          <w:bCs/>
          <w:sz w:val="20"/>
          <w:szCs w:val="20"/>
        </w:rPr>
        <w:t>C14 Repackaging or Relabeling to Correct Deficiencies (AUG 2017)</w:t>
      </w:r>
    </w:p>
    <w:p w14:paraId="54937D58" w14:textId="30630E8A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r w:rsidRPr="00B83EF5">
        <w:rPr>
          <w:rFonts w:asciiTheme="majorHAnsi" w:hAnsiTheme="majorHAnsi"/>
          <w:bCs/>
          <w:sz w:val="20"/>
          <w:szCs w:val="20"/>
        </w:rPr>
        <w:t>E08 First Article Testing Requirement (APRIL 2025)</w:t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Pr="00B83EF5">
        <w:rPr>
          <w:rFonts w:asciiTheme="majorHAnsi" w:hAnsiTheme="majorHAnsi"/>
          <w:bCs/>
          <w:sz w:val="20"/>
          <w:szCs w:val="20"/>
        </w:rPr>
        <w:t xml:space="preserve"> </w:t>
      </w:r>
    </w:p>
    <w:p w14:paraId="541B1BF9" w14:textId="6B1CCEEE" w:rsidR="003B45FF" w:rsidRPr="00B83EF5" w:rsidRDefault="003B45FF" w:rsidP="003B45FF">
      <w:pPr>
        <w:pStyle w:val="Heading1"/>
        <w:spacing w:before="28"/>
        <w:rPr>
          <w:rFonts w:asciiTheme="majorHAnsi" w:hAnsiTheme="majorHAnsi"/>
          <w:b w:val="0"/>
          <w:sz w:val="20"/>
          <w:szCs w:val="20"/>
        </w:rPr>
      </w:pPr>
      <w:r w:rsidRPr="00B83EF5">
        <w:rPr>
          <w:rFonts w:asciiTheme="majorHAnsi" w:hAnsiTheme="majorHAnsi"/>
          <w:b w:val="0"/>
          <w:sz w:val="20"/>
          <w:szCs w:val="20"/>
        </w:rPr>
        <w:t>H10</w:t>
      </w:r>
      <w:r w:rsidRPr="00B83EF5">
        <w:rPr>
          <w:rFonts w:asciiTheme="majorHAnsi" w:hAnsiTheme="majorHAnsi"/>
          <w:b w:val="0"/>
          <w:spacing w:val="-17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Exception</w:t>
      </w:r>
      <w:r w:rsidRPr="00B83EF5">
        <w:rPr>
          <w:rFonts w:asciiTheme="majorHAnsi" w:hAnsiTheme="majorHAnsi"/>
          <w:b w:val="0"/>
          <w:spacing w:val="-9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to</w:t>
      </w:r>
      <w:r w:rsidRPr="00B83EF5">
        <w:rPr>
          <w:rFonts w:asciiTheme="majorHAnsi" w:hAnsiTheme="majorHAnsi"/>
          <w:b w:val="0"/>
          <w:spacing w:val="-9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the</w:t>
      </w:r>
      <w:r w:rsidRPr="00B83EF5">
        <w:rPr>
          <w:rFonts w:asciiTheme="majorHAnsi" w:hAnsiTheme="majorHAnsi"/>
          <w:b w:val="0"/>
          <w:spacing w:val="-9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Requirement</w:t>
      </w:r>
      <w:r w:rsidRPr="00B83EF5">
        <w:rPr>
          <w:rFonts w:asciiTheme="majorHAnsi" w:hAnsiTheme="majorHAnsi"/>
          <w:b w:val="0"/>
          <w:spacing w:val="-9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for</w:t>
      </w:r>
      <w:r w:rsidRPr="00B83EF5">
        <w:rPr>
          <w:rFonts w:asciiTheme="majorHAnsi" w:hAnsiTheme="majorHAnsi"/>
          <w:b w:val="0"/>
          <w:spacing w:val="-9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(DCAA)</w:t>
      </w:r>
      <w:r w:rsidRPr="00B83EF5">
        <w:rPr>
          <w:rFonts w:asciiTheme="majorHAnsi" w:hAnsiTheme="majorHAnsi"/>
          <w:b w:val="0"/>
          <w:spacing w:val="-4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DLA</w:t>
      </w:r>
      <w:r w:rsidRPr="00B83EF5">
        <w:rPr>
          <w:rFonts w:asciiTheme="majorHAnsi" w:hAnsiTheme="majorHAnsi"/>
          <w:b w:val="0"/>
          <w:spacing w:val="-15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Controlling</w:t>
      </w:r>
      <w:r w:rsidRPr="00B83EF5">
        <w:rPr>
          <w:rFonts w:asciiTheme="majorHAnsi" w:hAnsiTheme="majorHAnsi"/>
          <w:b w:val="0"/>
          <w:spacing w:val="-15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z w:val="20"/>
          <w:szCs w:val="20"/>
        </w:rPr>
        <w:t>Authority</w:t>
      </w:r>
      <w:r w:rsidRPr="00B83EF5">
        <w:rPr>
          <w:rFonts w:asciiTheme="majorHAnsi" w:hAnsiTheme="majorHAnsi"/>
          <w:b w:val="0"/>
          <w:spacing w:val="-15"/>
          <w:sz w:val="20"/>
          <w:szCs w:val="20"/>
        </w:rPr>
        <w:t xml:space="preserve"> </w:t>
      </w:r>
      <w:r w:rsidRPr="00B83EF5">
        <w:rPr>
          <w:rFonts w:asciiTheme="majorHAnsi" w:hAnsiTheme="majorHAnsi"/>
          <w:b w:val="0"/>
          <w:spacing w:val="-2"/>
          <w:sz w:val="20"/>
          <w:szCs w:val="20"/>
        </w:rPr>
        <w:t>Approval</w:t>
      </w:r>
    </w:p>
    <w:p w14:paraId="62E174C5" w14:textId="71330BE9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bookmarkStart w:id="0" w:name="_Hlk171418280"/>
      <w:r w:rsidRPr="00B83EF5">
        <w:rPr>
          <w:rFonts w:asciiTheme="majorHAnsi" w:hAnsiTheme="majorHAnsi"/>
          <w:bCs/>
          <w:sz w:val="20"/>
          <w:szCs w:val="20"/>
        </w:rPr>
        <w:t xml:space="preserve">L04 Offers for Part Numbered Items (SEP 2016) </w:t>
      </w:r>
      <w:bookmarkEnd w:id="0"/>
    </w:p>
    <w:p w14:paraId="7E49911D" w14:textId="4E5CD0F8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r w:rsidRPr="00B83EF5">
        <w:rPr>
          <w:rFonts w:asciiTheme="majorHAnsi" w:hAnsiTheme="majorHAnsi"/>
          <w:bCs/>
          <w:sz w:val="20"/>
          <w:szCs w:val="20"/>
        </w:rPr>
        <w:t>L06 Agency Protests (DEC 2016)</w:t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</w:p>
    <w:p w14:paraId="675106C9" w14:textId="59C9A684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r w:rsidRPr="00B83EF5">
        <w:rPr>
          <w:rFonts w:asciiTheme="majorHAnsi" w:hAnsiTheme="majorHAnsi"/>
          <w:bCs/>
          <w:sz w:val="20"/>
          <w:szCs w:val="20"/>
        </w:rPr>
        <w:t>L08 Use of Supplier Performance Risk System (SPRS) in Past Performance Evaluations</w:t>
      </w:r>
      <w:r w:rsidR="003B45FF" w:rsidRPr="00B83EF5">
        <w:rPr>
          <w:rFonts w:asciiTheme="majorHAnsi" w:hAnsiTheme="majorHAnsi"/>
          <w:bCs/>
          <w:sz w:val="20"/>
          <w:szCs w:val="20"/>
        </w:rPr>
        <w:t xml:space="preserve"> </w:t>
      </w:r>
    </w:p>
    <w:p w14:paraId="355D19F5" w14:textId="2805E96D" w:rsidR="003B45FF" w:rsidRPr="00B83EF5" w:rsidRDefault="003B45FF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r w:rsidRPr="00B83EF5">
        <w:rPr>
          <w:rFonts w:asciiTheme="majorHAnsi" w:hAnsiTheme="majorHAnsi"/>
          <w:color w:val="000000"/>
          <w:sz w:val="20"/>
          <w:szCs w:val="20"/>
        </w:rPr>
        <w:t>L22</w:t>
      </w:r>
      <w:r w:rsidRPr="00B83EF5">
        <w:rPr>
          <w:rFonts w:asciiTheme="majorHAnsi" w:hAnsiTheme="majorHAnsi"/>
          <w:color w:val="000000"/>
          <w:spacing w:val="-15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>Restriction</w:t>
      </w:r>
      <w:r w:rsidRPr="00B83EF5">
        <w:rPr>
          <w:rFonts w:asciiTheme="majorHAnsi" w:hAnsiTheme="majorHAnsi"/>
          <w:color w:val="000000"/>
          <w:spacing w:val="-3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>of</w:t>
      </w:r>
      <w:r w:rsidRPr="00B83EF5">
        <w:rPr>
          <w:rFonts w:asciiTheme="majorHAnsi" w:hAnsiTheme="majorHAnsi"/>
          <w:color w:val="000000"/>
          <w:spacing w:val="-15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>Alternate</w:t>
      </w:r>
      <w:r w:rsidRPr="00B83EF5">
        <w:rPr>
          <w:rFonts w:asciiTheme="majorHAnsi" w:hAnsiTheme="majorHAnsi"/>
          <w:color w:val="000000"/>
          <w:spacing w:val="-7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>Offers</w:t>
      </w:r>
      <w:r w:rsidRPr="00B83EF5">
        <w:rPr>
          <w:rFonts w:asciiTheme="majorHAnsi" w:hAnsiTheme="majorHAnsi"/>
          <w:color w:val="000000"/>
          <w:spacing w:val="-4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>for</w:t>
      </w:r>
      <w:r w:rsidRPr="00B83EF5">
        <w:rPr>
          <w:rFonts w:asciiTheme="majorHAnsi" w:hAnsiTheme="majorHAnsi"/>
          <w:color w:val="000000"/>
          <w:spacing w:val="-9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>Source</w:t>
      </w:r>
      <w:r w:rsidRPr="00B83EF5">
        <w:rPr>
          <w:rFonts w:asciiTheme="majorHAnsi" w:hAnsiTheme="majorHAnsi"/>
          <w:color w:val="000000"/>
          <w:spacing w:val="-6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>Controlled</w:t>
      </w:r>
      <w:r w:rsidRPr="00B83EF5">
        <w:rPr>
          <w:rFonts w:asciiTheme="majorHAnsi" w:hAnsiTheme="majorHAnsi"/>
          <w:color w:val="000000"/>
          <w:spacing w:val="-4"/>
          <w:sz w:val="20"/>
          <w:szCs w:val="20"/>
        </w:rPr>
        <w:t xml:space="preserve"> </w:t>
      </w:r>
      <w:r w:rsidRPr="00B83EF5">
        <w:rPr>
          <w:rFonts w:asciiTheme="majorHAnsi" w:hAnsiTheme="majorHAnsi"/>
          <w:color w:val="000000"/>
          <w:sz w:val="20"/>
          <w:szCs w:val="20"/>
        </w:rPr>
        <w:t xml:space="preserve">Items </w:t>
      </w:r>
      <w:r w:rsidRPr="00B83EF5">
        <w:rPr>
          <w:rFonts w:asciiTheme="majorHAnsi" w:hAnsiTheme="majorHAnsi"/>
          <w:color w:val="000000"/>
          <w:sz w:val="20"/>
          <w:szCs w:val="20"/>
        </w:rPr>
        <w:tab/>
      </w:r>
      <w:r w:rsidRPr="00B83EF5">
        <w:rPr>
          <w:rFonts w:asciiTheme="majorHAnsi" w:hAnsiTheme="majorHAnsi"/>
          <w:color w:val="000000"/>
          <w:sz w:val="20"/>
          <w:szCs w:val="20"/>
        </w:rPr>
        <w:tab/>
      </w:r>
      <w:r w:rsidRPr="00B83EF5">
        <w:rPr>
          <w:rFonts w:asciiTheme="majorHAnsi" w:hAnsiTheme="majorHAnsi"/>
          <w:color w:val="000000"/>
          <w:sz w:val="20"/>
          <w:szCs w:val="20"/>
        </w:rPr>
        <w:tab/>
      </w:r>
    </w:p>
    <w:p w14:paraId="2A7E3399" w14:textId="75F27302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r w:rsidRPr="00B83EF5">
        <w:rPr>
          <w:rFonts w:asciiTheme="majorHAnsi" w:hAnsiTheme="majorHAnsi"/>
          <w:bCs/>
          <w:sz w:val="20"/>
          <w:szCs w:val="20"/>
        </w:rPr>
        <w:t>L31 Additive Manufacturing (JUN 2018)</w:t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  <w:r w:rsidR="003B45FF" w:rsidRPr="00B83EF5">
        <w:rPr>
          <w:rFonts w:asciiTheme="majorHAnsi" w:hAnsiTheme="majorHAnsi"/>
          <w:bCs/>
          <w:sz w:val="20"/>
          <w:szCs w:val="20"/>
        </w:rPr>
        <w:tab/>
      </w:r>
    </w:p>
    <w:p w14:paraId="468E419C" w14:textId="5CF674FA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Cs/>
          <w:sz w:val="20"/>
          <w:szCs w:val="20"/>
        </w:rPr>
      </w:pPr>
      <w:r w:rsidRPr="00B83EF5">
        <w:rPr>
          <w:rFonts w:asciiTheme="majorHAnsi" w:hAnsiTheme="majorHAnsi"/>
          <w:bCs/>
          <w:sz w:val="20"/>
          <w:szCs w:val="20"/>
        </w:rPr>
        <w:t>M05 Evaluation Factor for Unused Former Government Surplus Property (SEP 2016)</w:t>
      </w:r>
      <w:r w:rsidR="000E0797" w:rsidRPr="00B83EF5">
        <w:rPr>
          <w:rFonts w:asciiTheme="majorHAnsi" w:hAnsiTheme="majorHAnsi"/>
          <w:bCs/>
          <w:color w:val="C00000"/>
          <w:sz w:val="20"/>
          <w:szCs w:val="20"/>
        </w:rPr>
        <w:tab/>
      </w:r>
    </w:p>
    <w:p w14:paraId="5A77CD05" w14:textId="658290B6" w:rsidR="007938AE" w:rsidRPr="00B83EF5" w:rsidRDefault="007938AE" w:rsidP="00826E13">
      <w:pPr>
        <w:autoSpaceDE w:val="0"/>
        <w:autoSpaceDN w:val="0"/>
        <w:adjustRightInd w:val="0"/>
        <w:spacing w:line="360" w:lineRule="auto"/>
        <w:rPr>
          <w:rFonts w:asciiTheme="majorHAnsi" w:hAnsiTheme="majorHAnsi"/>
          <w:b/>
          <w:sz w:val="20"/>
          <w:szCs w:val="20"/>
        </w:rPr>
      </w:pPr>
      <w:bookmarkStart w:id="1" w:name="_Hlk171418315"/>
      <w:r w:rsidRPr="00B83EF5">
        <w:rPr>
          <w:rFonts w:asciiTheme="majorHAnsi" w:hAnsiTheme="majorHAnsi"/>
          <w:sz w:val="20"/>
          <w:szCs w:val="20"/>
        </w:rPr>
        <w:t xml:space="preserve">M06 Evaluation of Offers for Part Numbered Items (SEP 2016) </w:t>
      </w:r>
      <w:bookmarkEnd w:id="1"/>
    </w:p>
    <w:p w14:paraId="4101205E" w14:textId="77777777" w:rsidR="007938AE" w:rsidRPr="00B83EF5" w:rsidRDefault="007938AE" w:rsidP="007938AE">
      <w:pPr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</w:p>
    <w:p w14:paraId="63439109" w14:textId="77777777" w:rsidR="007938AE" w:rsidRPr="00B83EF5" w:rsidRDefault="007938AE" w:rsidP="007938AE">
      <w:pPr>
        <w:autoSpaceDE w:val="0"/>
        <w:autoSpaceDN w:val="0"/>
        <w:adjustRightInd w:val="0"/>
        <w:rPr>
          <w:rFonts w:asciiTheme="majorHAnsi" w:hAnsiTheme="majorHAnsi"/>
          <w:sz w:val="20"/>
          <w:szCs w:val="20"/>
        </w:rPr>
      </w:pPr>
    </w:p>
    <w:p w14:paraId="16E9CBE6" w14:textId="77777777" w:rsidR="00826E13" w:rsidRPr="00B83EF5" w:rsidRDefault="00826E13" w:rsidP="007938AE">
      <w:pPr>
        <w:pStyle w:val="NormalWeb"/>
        <w:shd w:val="clear" w:color="auto" w:fill="F9F9F9"/>
        <w:spacing w:before="0" w:beforeAutospacing="0" w:after="0" w:afterAutospacing="0" w:line="360" w:lineRule="atLeast"/>
        <w:rPr>
          <w:rStyle w:val="Strong"/>
          <w:rFonts w:asciiTheme="majorHAnsi" w:eastAsiaTheme="minorHAnsi" w:hAnsiTheme="majorHAnsi"/>
          <w:color w:val="212121"/>
          <w:sz w:val="20"/>
          <w:szCs w:val="20"/>
        </w:rPr>
      </w:pPr>
    </w:p>
    <w:p w14:paraId="321FECC6" w14:textId="4BBC6E8C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Style w:val="Strong"/>
          <w:rFonts w:asciiTheme="majorHAnsi" w:eastAsiaTheme="minorHAnsi" w:hAnsiTheme="majorHAnsi"/>
          <w:color w:val="212121"/>
          <w:sz w:val="20"/>
          <w:szCs w:val="20"/>
        </w:rPr>
        <w:t>LOCAL CLAUSES (See Attachment for Full Text)</w:t>
      </w:r>
      <w:r w:rsidRPr="00B83EF5">
        <w:rPr>
          <w:rFonts w:asciiTheme="majorHAnsi" w:hAnsiTheme="majorHAnsi"/>
          <w:color w:val="212121"/>
          <w:sz w:val="20"/>
          <w:szCs w:val="20"/>
        </w:rPr>
        <w:t>:</w:t>
      </w:r>
    </w:p>
    <w:p w14:paraId="6C576E6A" w14:textId="155B2AB8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 xml:space="preserve">YM4 C7F758 MERCURY EXCLUSION CLAUSE FOR MERCURY FREE PROCUREMENT </w:t>
      </w:r>
    </w:p>
    <w:p w14:paraId="365F6EA3" w14:textId="7285E2D0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 xml:space="preserve">YM4 E7F751 SOURCE INSPECTION BY THE DEFENSE CONTRACT MANAGEMENT AGENCY (DCMA) IS </w:t>
      </w:r>
    </w:p>
    <w:p w14:paraId="06243783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 xml:space="preserve">YM4 L001 EUROPEAN UNION RESTRICTIONS REGARDING NONMANUFACTURED WOOD PACKAGING AND PALLETS </w:t>
      </w:r>
    </w:p>
    <w:p w14:paraId="36725D54" w14:textId="77777777" w:rsidR="007938AE" w:rsidRPr="00B83EF5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YM4 L003 UNIT PRICES</w:t>
      </w:r>
    </w:p>
    <w:p w14:paraId="5C7336F5" w14:textId="77777777" w:rsidR="007938AE" w:rsidRPr="007938AE" w:rsidRDefault="007938AE" w:rsidP="00826E13">
      <w:pPr>
        <w:pStyle w:val="NormalWeb"/>
        <w:shd w:val="clear" w:color="auto" w:fill="F9F9F9"/>
        <w:spacing w:before="0" w:beforeAutospacing="0" w:after="0" w:afterAutospacing="0" w:line="360" w:lineRule="auto"/>
        <w:rPr>
          <w:rFonts w:asciiTheme="majorHAnsi" w:hAnsiTheme="majorHAnsi"/>
          <w:color w:val="212121"/>
          <w:sz w:val="20"/>
          <w:szCs w:val="20"/>
        </w:rPr>
      </w:pPr>
      <w:r w:rsidRPr="00B83EF5">
        <w:rPr>
          <w:rFonts w:asciiTheme="majorHAnsi" w:hAnsiTheme="majorHAnsi"/>
          <w:color w:val="212121"/>
          <w:sz w:val="20"/>
          <w:szCs w:val="20"/>
        </w:rPr>
        <w:t>YM4 L331 REVIEW OF AGENCY PROTESTS</w:t>
      </w:r>
    </w:p>
    <w:p w14:paraId="4B102DDE" w14:textId="77777777" w:rsidR="007938AE" w:rsidRDefault="007938AE" w:rsidP="007938AE">
      <w:pPr>
        <w:pStyle w:val="NormalWeb"/>
        <w:shd w:val="clear" w:color="auto" w:fill="F9F9F9"/>
        <w:spacing w:before="0" w:beforeAutospacing="0" w:after="0" w:afterAutospacing="0" w:line="360" w:lineRule="atLeast"/>
        <w:rPr>
          <w:color w:val="212121"/>
        </w:rPr>
      </w:pPr>
    </w:p>
    <w:p w14:paraId="7745CE1B" w14:textId="2A280AC8" w:rsidR="00103A02" w:rsidRPr="00193F6B" w:rsidRDefault="00103A02" w:rsidP="00337346">
      <w:pPr>
        <w:shd w:val="clear" w:color="auto" w:fill="FFFFFF"/>
        <w:rPr>
          <w:rFonts w:asciiTheme="majorHAnsi" w:hAnsiTheme="majorHAnsi"/>
          <w:sz w:val="20"/>
          <w:szCs w:val="20"/>
          <w:lang w:val="en"/>
        </w:rPr>
      </w:pPr>
    </w:p>
    <w:sectPr w:rsidR="00103A02" w:rsidRPr="00193F6B">
      <w:headerReference w:type="default" r:id="rId7"/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D561C" w14:textId="77777777" w:rsidR="00964727" w:rsidRDefault="00964727" w:rsidP="003A2386">
      <w:r>
        <w:separator/>
      </w:r>
    </w:p>
  </w:endnote>
  <w:endnote w:type="continuationSeparator" w:id="0">
    <w:p w14:paraId="6B64557C" w14:textId="77777777" w:rsidR="00964727" w:rsidRDefault="00964727" w:rsidP="003A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57913311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3404F4" w14:textId="4A07D531" w:rsidR="003B45FF" w:rsidRPr="003A2386" w:rsidRDefault="003B45FF" w:rsidP="003A2386">
            <w:pPr>
              <w:pStyle w:val="Footer"/>
              <w:jc w:val="right"/>
              <w:rPr>
                <w:sz w:val="20"/>
                <w:szCs w:val="20"/>
              </w:rPr>
            </w:pPr>
            <w:r w:rsidRPr="003A2386">
              <w:rPr>
                <w:sz w:val="20"/>
                <w:szCs w:val="20"/>
              </w:rPr>
              <w:t xml:space="preserve">Page </w:t>
            </w:r>
            <w:r w:rsidRPr="003A2386">
              <w:rPr>
                <w:b/>
                <w:bCs/>
                <w:sz w:val="20"/>
                <w:szCs w:val="20"/>
              </w:rPr>
              <w:fldChar w:fldCharType="begin"/>
            </w:r>
            <w:r w:rsidRPr="003A2386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3A2386">
              <w:rPr>
                <w:b/>
                <w:bCs/>
                <w:sz w:val="20"/>
                <w:szCs w:val="20"/>
              </w:rPr>
              <w:fldChar w:fldCharType="separate"/>
            </w:r>
            <w:r w:rsidR="00A25E04">
              <w:rPr>
                <w:b/>
                <w:bCs/>
                <w:noProof/>
                <w:sz w:val="20"/>
                <w:szCs w:val="20"/>
              </w:rPr>
              <w:t>9</w:t>
            </w:r>
            <w:r w:rsidRPr="003A2386">
              <w:rPr>
                <w:b/>
                <w:bCs/>
                <w:sz w:val="20"/>
                <w:szCs w:val="20"/>
              </w:rPr>
              <w:fldChar w:fldCharType="end"/>
            </w:r>
            <w:r w:rsidRPr="003A2386">
              <w:rPr>
                <w:sz w:val="20"/>
                <w:szCs w:val="20"/>
              </w:rPr>
              <w:t xml:space="preserve"> of </w:t>
            </w:r>
            <w:r w:rsidRPr="003A2386">
              <w:rPr>
                <w:b/>
                <w:bCs/>
                <w:sz w:val="20"/>
                <w:szCs w:val="20"/>
              </w:rPr>
              <w:fldChar w:fldCharType="begin"/>
            </w:r>
            <w:r w:rsidRPr="003A2386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3A2386">
              <w:rPr>
                <w:b/>
                <w:bCs/>
                <w:sz w:val="20"/>
                <w:szCs w:val="20"/>
              </w:rPr>
              <w:fldChar w:fldCharType="separate"/>
            </w:r>
            <w:r w:rsidR="00A25E04">
              <w:rPr>
                <w:b/>
                <w:bCs/>
                <w:noProof/>
                <w:sz w:val="20"/>
                <w:szCs w:val="20"/>
              </w:rPr>
              <w:t>9</w:t>
            </w:r>
            <w:r w:rsidRPr="003A238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4ED9" w14:textId="77777777" w:rsidR="00964727" w:rsidRDefault="00964727" w:rsidP="003A2386">
      <w:r>
        <w:separator/>
      </w:r>
    </w:p>
  </w:footnote>
  <w:footnote w:type="continuationSeparator" w:id="0">
    <w:p w14:paraId="5B029CEA" w14:textId="77777777" w:rsidR="00964727" w:rsidRDefault="00964727" w:rsidP="003A2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8B8F" w14:textId="24DA9D4C" w:rsidR="003B45FF" w:rsidRPr="00193F6B" w:rsidRDefault="003B45FF" w:rsidP="00DB5C7B">
    <w:pPr>
      <w:jc w:val="center"/>
      <w:rPr>
        <w:rFonts w:asciiTheme="majorHAnsi" w:hAnsiTheme="majorHAnsi"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BC2"/>
    <w:multiLevelType w:val="hybridMultilevel"/>
    <w:tmpl w:val="3272B7FE"/>
    <w:lvl w:ilvl="0" w:tplc="96549D18">
      <w:start w:val="1"/>
      <w:numFmt w:val="decimalZero"/>
      <w:lvlText w:val="%1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C5B10"/>
    <w:multiLevelType w:val="hybridMultilevel"/>
    <w:tmpl w:val="28721D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D9014F"/>
    <w:multiLevelType w:val="hybridMultilevel"/>
    <w:tmpl w:val="D3CA94EA"/>
    <w:lvl w:ilvl="0" w:tplc="8D36B8AA">
      <w:start w:val="1"/>
      <w:numFmt w:val="decimal"/>
      <w:lvlText w:val="%1."/>
      <w:lvlJc w:val="left"/>
      <w:pPr>
        <w:ind w:left="1410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1939676799">
    <w:abstractNumId w:val="0"/>
  </w:num>
  <w:num w:numId="2" w16cid:durableId="690767435">
    <w:abstractNumId w:val="2"/>
  </w:num>
  <w:num w:numId="3" w16cid:durableId="21370917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B6F"/>
    <w:rsid w:val="00000347"/>
    <w:rsid w:val="0000380F"/>
    <w:rsid w:val="00012E8D"/>
    <w:rsid w:val="000226FB"/>
    <w:rsid w:val="000272F6"/>
    <w:rsid w:val="00030EEA"/>
    <w:rsid w:val="00033E1A"/>
    <w:rsid w:val="000448CA"/>
    <w:rsid w:val="00044DAC"/>
    <w:rsid w:val="00046143"/>
    <w:rsid w:val="0005114A"/>
    <w:rsid w:val="00053D8F"/>
    <w:rsid w:val="000555C4"/>
    <w:rsid w:val="00055ABB"/>
    <w:rsid w:val="00057F0A"/>
    <w:rsid w:val="00061919"/>
    <w:rsid w:val="000777E2"/>
    <w:rsid w:val="00084B9E"/>
    <w:rsid w:val="00085AB4"/>
    <w:rsid w:val="00090760"/>
    <w:rsid w:val="0009130C"/>
    <w:rsid w:val="00092793"/>
    <w:rsid w:val="0009564E"/>
    <w:rsid w:val="000A0A1F"/>
    <w:rsid w:val="000B2F9B"/>
    <w:rsid w:val="000B368E"/>
    <w:rsid w:val="000B43E0"/>
    <w:rsid w:val="000B6545"/>
    <w:rsid w:val="000B7D8A"/>
    <w:rsid w:val="000C00EE"/>
    <w:rsid w:val="000D6107"/>
    <w:rsid w:val="000E0797"/>
    <w:rsid w:val="000E2E49"/>
    <w:rsid w:val="000E659D"/>
    <w:rsid w:val="000E7CAF"/>
    <w:rsid w:val="000F01AA"/>
    <w:rsid w:val="000F192B"/>
    <w:rsid w:val="000F23B1"/>
    <w:rsid w:val="000F3796"/>
    <w:rsid w:val="0010211C"/>
    <w:rsid w:val="00103A02"/>
    <w:rsid w:val="001048F2"/>
    <w:rsid w:val="00111AF9"/>
    <w:rsid w:val="00113044"/>
    <w:rsid w:val="00114AAA"/>
    <w:rsid w:val="0011520D"/>
    <w:rsid w:val="00116907"/>
    <w:rsid w:val="00127C8D"/>
    <w:rsid w:val="00127DBA"/>
    <w:rsid w:val="0013264D"/>
    <w:rsid w:val="00136CD7"/>
    <w:rsid w:val="0014337A"/>
    <w:rsid w:val="00157152"/>
    <w:rsid w:val="0016166F"/>
    <w:rsid w:val="00161ECB"/>
    <w:rsid w:val="00162046"/>
    <w:rsid w:val="001637FF"/>
    <w:rsid w:val="00165C01"/>
    <w:rsid w:val="0016732C"/>
    <w:rsid w:val="001737BF"/>
    <w:rsid w:val="00174544"/>
    <w:rsid w:val="00177A7E"/>
    <w:rsid w:val="001908AF"/>
    <w:rsid w:val="00190CCC"/>
    <w:rsid w:val="00190D30"/>
    <w:rsid w:val="00193F6B"/>
    <w:rsid w:val="00194865"/>
    <w:rsid w:val="0019513D"/>
    <w:rsid w:val="00197C43"/>
    <w:rsid w:val="001A5778"/>
    <w:rsid w:val="001B1137"/>
    <w:rsid w:val="001B585B"/>
    <w:rsid w:val="001C0402"/>
    <w:rsid w:val="001E0CB7"/>
    <w:rsid w:val="001E1F19"/>
    <w:rsid w:val="001F1303"/>
    <w:rsid w:val="001F50E3"/>
    <w:rsid w:val="001F575D"/>
    <w:rsid w:val="00200843"/>
    <w:rsid w:val="00203EE0"/>
    <w:rsid w:val="00212A1A"/>
    <w:rsid w:val="00224095"/>
    <w:rsid w:val="00227B58"/>
    <w:rsid w:val="00233055"/>
    <w:rsid w:val="002337D0"/>
    <w:rsid w:val="002445EE"/>
    <w:rsid w:val="00245109"/>
    <w:rsid w:val="00246E78"/>
    <w:rsid w:val="00250DF9"/>
    <w:rsid w:val="00254B69"/>
    <w:rsid w:val="0027600C"/>
    <w:rsid w:val="00276EC8"/>
    <w:rsid w:val="00283E9A"/>
    <w:rsid w:val="00290B83"/>
    <w:rsid w:val="00294571"/>
    <w:rsid w:val="002A6A8B"/>
    <w:rsid w:val="002B5B59"/>
    <w:rsid w:val="002C0675"/>
    <w:rsid w:val="002C13EB"/>
    <w:rsid w:val="002D13DD"/>
    <w:rsid w:val="002D2A44"/>
    <w:rsid w:val="002D3903"/>
    <w:rsid w:val="002E60B2"/>
    <w:rsid w:val="002E7DEB"/>
    <w:rsid w:val="002F5DD4"/>
    <w:rsid w:val="00305B64"/>
    <w:rsid w:val="00314C5D"/>
    <w:rsid w:val="0031532D"/>
    <w:rsid w:val="00315B41"/>
    <w:rsid w:val="003200F9"/>
    <w:rsid w:val="00327B25"/>
    <w:rsid w:val="00330304"/>
    <w:rsid w:val="00335D39"/>
    <w:rsid w:val="00337346"/>
    <w:rsid w:val="00337350"/>
    <w:rsid w:val="00344698"/>
    <w:rsid w:val="0034738D"/>
    <w:rsid w:val="003500D7"/>
    <w:rsid w:val="00364157"/>
    <w:rsid w:val="00364856"/>
    <w:rsid w:val="003657B8"/>
    <w:rsid w:val="00366F9D"/>
    <w:rsid w:val="00373DB2"/>
    <w:rsid w:val="00377E53"/>
    <w:rsid w:val="00381912"/>
    <w:rsid w:val="003856EF"/>
    <w:rsid w:val="00395573"/>
    <w:rsid w:val="00395A40"/>
    <w:rsid w:val="00397492"/>
    <w:rsid w:val="003A2386"/>
    <w:rsid w:val="003A6F9C"/>
    <w:rsid w:val="003B0261"/>
    <w:rsid w:val="003B3137"/>
    <w:rsid w:val="003B45FF"/>
    <w:rsid w:val="003C5C4A"/>
    <w:rsid w:val="003D6990"/>
    <w:rsid w:val="003E21F0"/>
    <w:rsid w:val="003E6FB7"/>
    <w:rsid w:val="003E7CC5"/>
    <w:rsid w:val="003E7FCF"/>
    <w:rsid w:val="003F4304"/>
    <w:rsid w:val="0040247B"/>
    <w:rsid w:val="004025B6"/>
    <w:rsid w:val="00402AA1"/>
    <w:rsid w:val="00421EA6"/>
    <w:rsid w:val="004377C7"/>
    <w:rsid w:val="004426D3"/>
    <w:rsid w:val="00447682"/>
    <w:rsid w:val="00457961"/>
    <w:rsid w:val="00462563"/>
    <w:rsid w:val="004653D6"/>
    <w:rsid w:val="00471A01"/>
    <w:rsid w:val="00472C49"/>
    <w:rsid w:val="00475299"/>
    <w:rsid w:val="00475DA2"/>
    <w:rsid w:val="0048289F"/>
    <w:rsid w:val="004854EC"/>
    <w:rsid w:val="00487DAB"/>
    <w:rsid w:val="00490CF6"/>
    <w:rsid w:val="004964DE"/>
    <w:rsid w:val="004A19FE"/>
    <w:rsid w:val="004A2978"/>
    <w:rsid w:val="004A3B03"/>
    <w:rsid w:val="004B69E5"/>
    <w:rsid w:val="004C31C2"/>
    <w:rsid w:val="004C7B40"/>
    <w:rsid w:val="004E483A"/>
    <w:rsid w:val="00501E39"/>
    <w:rsid w:val="00517FF0"/>
    <w:rsid w:val="0053365C"/>
    <w:rsid w:val="00536B6F"/>
    <w:rsid w:val="00536BD1"/>
    <w:rsid w:val="00536DD5"/>
    <w:rsid w:val="00541210"/>
    <w:rsid w:val="0054532F"/>
    <w:rsid w:val="00545337"/>
    <w:rsid w:val="00550B3B"/>
    <w:rsid w:val="005512A0"/>
    <w:rsid w:val="00554702"/>
    <w:rsid w:val="00554BD9"/>
    <w:rsid w:val="005561AD"/>
    <w:rsid w:val="00560423"/>
    <w:rsid w:val="005620B7"/>
    <w:rsid w:val="0056670A"/>
    <w:rsid w:val="005671DD"/>
    <w:rsid w:val="0057370B"/>
    <w:rsid w:val="0058073A"/>
    <w:rsid w:val="00583A3C"/>
    <w:rsid w:val="00584B57"/>
    <w:rsid w:val="00590C1D"/>
    <w:rsid w:val="00590E35"/>
    <w:rsid w:val="005911EB"/>
    <w:rsid w:val="00591AE6"/>
    <w:rsid w:val="00593CFE"/>
    <w:rsid w:val="0059534A"/>
    <w:rsid w:val="005966F1"/>
    <w:rsid w:val="005A5572"/>
    <w:rsid w:val="005B070E"/>
    <w:rsid w:val="005B0834"/>
    <w:rsid w:val="005B3F92"/>
    <w:rsid w:val="005D546B"/>
    <w:rsid w:val="005E10C6"/>
    <w:rsid w:val="005F0EB2"/>
    <w:rsid w:val="005F1113"/>
    <w:rsid w:val="005F15D3"/>
    <w:rsid w:val="005F517C"/>
    <w:rsid w:val="005F5C38"/>
    <w:rsid w:val="005F77B5"/>
    <w:rsid w:val="00604155"/>
    <w:rsid w:val="00607369"/>
    <w:rsid w:val="0062490F"/>
    <w:rsid w:val="00633987"/>
    <w:rsid w:val="00636C58"/>
    <w:rsid w:val="006440B3"/>
    <w:rsid w:val="006462B4"/>
    <w:rsid w:val="0065064F"/>
    <w:rsid w:val="0065095A"/>
    <w:rsid w:val="00655707"/>
    <w:rsid w:val="00661769"/>
    <w:rsid w:val="006635B8"/>
    <w:rsid w:val="00665864"/>
    <w:rsid w:val="00676ECD"/>
    <w:rsid w:val="00677DD7"/>
    <w:rsid w:val="006864BB"/>
    <w:rsid w:val="0068677B"/>
    <w:rsid w:val="006947AF"/>
    <w:rsid w:val="00695A2C"/>
    <w:rsid w:val="0069787E"/>
    <w:rsid w:val="006A2810"/>
    <w:rsid w:val="006A4BE8"/>
    <w:rsid w:val="006C57A4"/>
    <w:rsid w:val="006C64FE"/>
    <w:rsid w:val="006D4F8A"/>
    <w:rsid w:val="006F54CB"/>
    <w:rsid w:val="00701A2A"/>
    <w:rsid w:val="00706613"/>
    <w:rsid w:val="0071463D"/>
    <w:rsid w:val="007209BD"/>
    <w:rsid w:val="00721DEE"/>
    <w:rsid w:val="00725A42"/>
    <w:rsid w:val="00731741"/>
    <w:rsid w:val="00736996"/>
    <w:rsid w:val="0074136B"/>
    <w:rsid w:val="00744F8F"/>
    <w:rsid w:val="00760C16"/>
    <w:rsid w:val="00762628"/>
    <w:rsid w:val="00762921"/>
    <w:rsid w:val="00764BFE"/>
    <w:rsid w:val="0076699C"/>
    <w:rsid w:val="007675A2"/>
    <w:rsid w:val="00767659"/>
    <w:rsid w:val="00773E4D"/>
    <w:rsid w:val="007779D7"/>
    <w:rsid w:val="007876E6"/>
    <w:rsid w:val="007938AE"/>
    <w:rsid w:val="007953F8"/>
    <w:rsid w:val="00796E51"/>
    <w:rsid w:val="007B7CFF"/>
    <w:rsid w:val="007B7F47"/>
    <w:rsid w:val="007C430E"/>
    <w:rsid w:val="007C57DD"/>
    <w:rsid w:val="007C5838"/>
    <w:rsid w:val="00801F28"/>
    <w:rsid w:val="00804E37"/>
    <w:rsid w:val="00810275"/>
    <w:rsid w:val="00813C51"/>
    <w:rsid w:val="00816831"/>
    <w:rsid w:val="00826E13"/>
    <w:rsid w:val="0083276C"/>
    <w:rsid w:val="00834DB2"/>
    <w:rsid w:val="00840347"/>
    <w:rsid w:val="008460CA"/>
    <w:rsid w:val="00853C93"/>
    <w:rsid w:val="00853DCB"/>
    <w:rsid w:val="0086684E"/>
    <w:rsid w:val="00867D46"/>
    <w:rsid w:val="00871454"/>
    <w:rsid w:val="008731A4"/>
    <w:rsid w:val="008731DA"/>
    <w:rsid w:val="008737B4"/>
    <w:rsid w:val="0087386D"/>
    <w:rsid w:val="00873C7A"/>
    <w:rsid w:val="0087708A"/>
    <w:rsid w:val="00880FB8"/>
    <w:rsid w:val="008876EB"/>
    <w:rsid w:val="00890B92"/>
    <w:rsid w:val="008A2212"/>
    <w:rsid w:val="008A64FB"/>
    <w:rsid w:val="008B3199"/>
    <w:rsid w:val="008B6538"/>
    <w:rsid w:val="008C70F5"/>
    <w:rsid w:val="008D1764"/>
    <w:rsid w:val="008D7855"/>
    <w:rsid w:val="008E35DC"/>
    <w:rsid w:val="008E59BF"/>
    <w:rsid w:val="008E5F6A"/>
    <w:rsid w:val="008F2BF5"/>
    <w:rsid w:val="0090322D"/>
    <w:rsid w:val="0090782A"/>
    <w:rsid w:val="00910623"/>
    <w:rsid w:val="00911DB4"/>
    <w:rsid w:val="00915549"/>
    <w:rsid w:val="009158AF"/>
    <w:rsid w:val="00916546"/>
    <w:rsid w:val="0091756C"/>
    <w:rsid w:val="00925BCD"/>
    <w:rsid w:val="00925CA5"/>
    <w:rsid w:val="00932919"/>
    <w:rsid w:val="009526CF"/>
    <w:rsid w:val="0095283C"/>
    <w:rsid w:val="00964727"/>
    <w:rsid w:val="00976179"/>
    <w:rsid w:val="009936AA"/>
    <w:rsid w:val="009A3AB2"/>
    <w:rsid w:val="009A5628"/>
    <w:rsid w:val="009B374B"/>
    <w:rsid w:val="009D1639"/>
    <w:rsid w:val="009F0C6C"/>
    <w:rsid w:val="009F1752"/>
    <w:rsid w:val="009F56E2"/>
    <w:rsid w:val="00A03B9B"/>
    <w:rsid w:val="00A05129"/>
    <w:rsid w:val="00A11145"/>
    <w:rsid w:val="00A120BF"/>
    <w:rsid w:val="00A25E04"/>
    <w:rsid w:val="00A26C40"/>
    <w:rsid w:val="00A35EE0"/>
    <w:rsid w:val="00A43288"/>
    <w:rsid w:val="00A53DA1"/>
    <w:rsid w:val="00A5449D"/>
    <w:rsid w:val="00A57ECD"/>
    <w:rsid w:val="00A60777"/>
    <w:rsid w:val="00A6162D"/>
    <w:rsid w:val="00A6509C"/>
    <w:rsid w:val="00A739BF"/>
    <w:rsid w:val="00A77BA9"/>
    <w:rsid w:val="00A9138E"/>
    <w:rsid w:val="00A954CD"/>
    <w:rsid w:val="00A95F11"/>
    <w:rsid w:val="00A96694"/>
    <w:rsid w:val="00AA1673"/>
    <w:rsid w:val="00AA17EE"/>
    <w:rsid w:val="00AB1BF0"/>
    <w:rsid w:val="00AB3963"/>
    <w:rsid w:val="00AB6DEE"/>
    <w:rsid w:val="00AC06EB"/>
    <w:rsid w:val="00AD27EA"/>
    <w:rsid w:val="00AE28D1"/>
    <w:rsid w:val="00AE3502"/>
    <w:rsid w:val="00AE6140"/>
    <w:rsid w:val="00AE6490"/>
    <w:rsid w:val="00B0358E"/>
    <w:rsid w:val="00B03663"/>
    <w:rsid w:val="00B1555D"/>
    <w:rsid w:val="00B3554F"/>
    <w:rsid w:val="00B427D1"/>
    <w:rsid w:val="00B54709"/>
    <w:rsid w:val="00B572DF"/>
    <w:rsid w:val="00B57A07"/>
    <w:rsid w:val="00B63135"/>
    <w:rsid w:val="00B65055"/>
    <w:rsid w:val="00B65662"/>
    <w:rsid w:val="00B72EC7"/>
    <w:rsid w:val="00B821C5"/>
    <w:rsid w:val="00B83EF5"/>
    <w:rsid w:val="00B8447D"/>
    <w:rsid w:val="00B9016C"/>
    <w:rsid w:val="00B96B52"/>
    <w:rsid w:val="00BC568B"/>
    <w:rsid w:val="00BC600F"/>
    <w:rsid w:val="00BC613F"/>
    <w:rsid w:val="00BD2A2C"/>
    <w:rsid w:val="00BE1814"/>
    <w:rsid w:val="00BE6D4C"/>
    <w:rsid w:val="00BE7718"/>
    <w:rsid w:val="00BF108B"/>
    <w:rsid w:val="00BF1DDB"/>
    <w:rsid w:val="00BF4241"/>
    <w:rsid w:val="00C1344E"/>
    <w:rsid w:val="00C13FC2"/>
    <w:rsid w:val="00C26CAB"/>
    <w:rsid w:val="00C40418"/>
    <w:rsid w:val="00C40D83"/>
    <w:rsid w:val="00C479B9"/>
    <w:rsid w:val="00C53A2E"/>
    <w:rsid w:val="00C60F0E"/>
    <w:rsid w:val="00C63A78"/>
    <w:rsid w:val="00C67FED"/>
    <w:rsid w:val="00C74584"/>
    <w:rsid w:val="00C76A0C"/>
    <w:rsid w:val="00C80119"/>
    <w:rsid w:val="00C86536"/>
    <w:rsid w:val="00C86D93"/>
    <w:rsid w:val="00C91C71"/>
    <w:rsid w:val="00CA1D71"/>
    <w:rsid w:val="00CA79D4"/>
    <w:rsid w:val="00CB4DDD"/>
    <w:rsid w:val="00CC74D1"/>
    <w:rsid w:val="00CD1012"/>
    <w:rsid w:val="00CD143B"/>
    <w:rsid w:val="00CD6F75"/>
    <w:rsid w:val="00CE0519"/>
    <w:rsid w:val="00CE4B71"/>
    <w:rsid w:val="00CE6721"/>
    <w:rsid w:val="00CF6670"/>
    <w:rsid w:val="00D02713"/>
    <w:rsid w:val="00D12C86"/>
    <w:rsid w:val="00D13D47"/>
    <w:rsid w:val="00D15D76"/>
    <w:rsid w:val="00D22858"/>
    <w:rsid w:val="00D23873"/>
    <w:rsid w:val="00D25033"/>
    <w:rsid w:val="00D27D16"/>
    <w:rsid w:val="00D30501"/>
    <w:rsid w:val="00D343DE"/>
    <w:rsid w:val="00D509E1"/>
    <w:rsid w:val="00D5209C"/>
    <w:rsid w:val="00D52E7B"/>
    <w:rsid w:val="00D53FB1"/>
    <w:rsid w:val="00D5704C"/>
    <w:rsid w:val="00D57D5E"/>
    <w:rsid w:val="00D6432D"/>
    <w:rsid w:val="00D72CEF"/>
    <w:rsid w:val="00D75AB3"/>
    <w:rsid w:val="00D761C0"/>
    <w:rsid w:val="00D90906"/>
    <w:rsid w:val="00D97E63"/>
    <w:rsid w:val="00DA3C01"/>
    <w:rsid w:val="00DB5C7B"/>
    <w:rsid w:val="00DC6383"/>
    <w:rsid w:val="00DD10AD"/>
    <w:rsid w:val="00DD1212"/>
    <w:rsid w:val="00DD4C02"/>
    <w:rsid w:val="00DD5A00"/>
    <w:rsid w:val="00DD619C"/>
    <w:rsid w:val="00DE4879"/>
    <w:rsid w:val="00DE4D2D"/>
    <w:rsid w:val="00DE4D87"/>
    <w:rsid w:val="00E0228B"/>
    <w:rsid w:val="00E04C2E"/>
    <w:rsid w:val="00E0603F"/>
    <w:rsid w:val="00E1184F"/>
    <w:rsid w:val="00E13845"/>
    <w:rsid w:val="00E15033"/>
    <w:rsid w:val="00E164FA"/>
    <w:rsid w:val="00E2124A"/>
    <w:rsid w:val="00E21C5A"/>
    <w:rsid w:val="00E322C8"/>
    <w:rsid w:val="00E40ABB"/>
    <w:rsid w:val="00E42334"/>
    <w:rsid w:val="00E44C2B"/>
    <w:rsid w:val="00E54F39"/>
    <w:rsid w:val="00E5790B"/>
    <w:rsid w:val="00E64F3E"/>
    <w:rsid w:val="00E6723A"/>
    <w:rsid w:val="00E71FFA"/>
    <w:rsid w:val="00E754DA"/>
    <w:rsid w:val="00E7599B"/>
    <w:rsid w:val="00E81693"/>
    <w:rsid w:val="00E92EF7"/>
    <w:rsid w:val="00EB40A0"/>
    <w:rsid w:val="00EB7BD6"/>
    <w:rsid w:val="00EB7D98"/>
    <w:rsid w:val="00EC019B"/>
    <w:rsid w:val="00EC3E9A"/>
    <w:rsid w:val="00EC5EC0"/>
    <w:rsid w:val="00EC7CDE"/>
    <w:rsid w:val="00ED0138"/>
    <w:rsid w:val="00ED1521"/>
    <w:rsid w:val="00ED5C98"/>
    <w:rsid w:val="00EF369B"/>
    <w:rsid w:val="00EF722B"/>
    <w:rsid w:val="00F034A3"/>
    <w:rsid w:val="00F03F56"/>
    <w:rsid w:val="00F05BB6"/>
    <w:rsid w:val="00F108BF"/>
    <w:rsid w:val="00F112C5"/>
    <w:rsid w:val="00F15473"/>
    <w:rsid w:val="00F2033F"/>
    <w:rsid w:val="00F203DC"/>
    <w:rsid w:val="00F3015C"/>
    <w:rsid w:val="00F37334"/>
    <w:rsid w:val="00F442A7"/>
    <w:rsid w:val="00F50109"/>
    <w:rsid w:val="00F64BBA"/>
    <w:rsid w:val="00F6513D"/>
    <w:rsid w:val="00F70607"/>
    <w:rsid w:val="00F7210D"/>
    <w:rsid w:val="00F75255"/>
    <w:rsid w:val="00F766A0"/>
    <w:rsid w:val="00F96DC5"/>
    <w:rsid w:val="00FA153C"/>
    <w:rsid w:val="00FA21AD"/>
    <w:rsid w:val="00FA39FE"/>
    <w:rsid w:val="00FA5CBA"/>
    <w:rsid w:val="00FA6656"/>
    <w:rsid w:val="00FB0B18"/>
    <w:rsid w:val="00FB60E5"/>
    <w:rsid w:val="00FB644E"/>
    <w:rsid w:val="00FC0BDA"/>
    <w:rsid w:val="00FC5A1D"/>
    <w:rsid w:val="00FC5F9B"/>
    <w:rsid w:val="00FD0CA8"/>
    <w:rsid w:val="00FD0CB9"/>
    <w:rsid w:val="00FD2E3B"/>
    <w:rsid w:val="00FD5222"/>
    <w:rsid w:val="00FD703A"/>
    <w:rsid w:val="00FE35CD"/>
    <w:rsid w:val="00FE3756"/>
    <w:rsid w:val="00FE6CF8"/>
    <w:rsid w:val="00FF09D4"/>
    <w:rsid w:val="00FF0EF7"/>
    <w:rsid w:val="00FF14D7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392366"/>
  <w15:docId w15:val="{6D527725-5757-44FA-8055-17B5120C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 Rounded MT Bold" w:hAnsi="Arial Rounded MT Bold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900"/>
        <w:tab w:val="left" w:pos="1620"/>
        <w:tab w:val="left" w:pos="6660"/>
        <w:tab w:val="left" w:pos="7740"/>
      </w:tabs>
      <w:jc w:val="center"/>
      <w:outlineLvl w:val="2"/>
    </w:pPr>
    <w:rPr>
      <w:rFonts w:ascii="Impact" w:hAnsi="Impact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BodyText">
    <w:name w:val="Body Text"/>
    <w:basedOn w:val="Normal"/>
    <w:rPr>
      <w:b/>
      <w:bCs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rsid w:val="00BC5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6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365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130C"/>
    <w:pPr>
      <w:spacing w:before="100" w:beforeAutospacing="1" w:after="100" w:afterAutospacing="1"/>
    </w:pPr>
  </w:style>
  <w:style w:type="character" w:customStyle="1" w:styleId="redclass1">
    <w:name w:val="redclass1"/>
    <w:basedOn w:val="DefaultParagraphFont"/>
    <w:rsid w:val="003E21F0"/>
    <w:rPr>
      <w:rFonts w:ascii="Verdana" w:hAnsi="Verdana" w:hint="default"/>
      <w:b/>
      <w:bCs/>
      <w:color w:val="CC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C5EC0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C5EC0"/>
    <w:rPr>
      <w:rFonts w:ascii="Calibri" w:eastAsiaTheme="minorHAnsi" w:hAnsi="Calibri" w:cstheme="minorBidi"/>
      <w:sz w:val="22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48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3A23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238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23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386"/>
    <w:rPr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39557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39557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39557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395573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70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609623356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68690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26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35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12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51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957833771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47090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8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80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25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14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768496292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14961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02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35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896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7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8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893781860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165953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71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21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5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8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78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031800554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4710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4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5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91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169951722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18762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38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68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87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73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21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9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27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4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7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1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9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0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01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3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647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2079015240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119977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7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32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25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3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51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701585116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15179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25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12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98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6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387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2009363524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194225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9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56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872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944730625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dashed" w:sz="6" w:space="0" w:color="808080"/>
                    <w:right w:val="none" w:sz="0" w:space="0" w:color="auto"/>
                  </w:divBdr>
                  <w:divsChild>
                    <w:div w:id="150451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1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1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3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7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76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37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7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94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 1 of</vt:lpstr>
    </vt:vector>
  </TitlesOfParts>
  <Company>Portsmouth Naval Shipyard</Company>
  <LinksUpToDate>false</LinksUpToDate>
  <CharactersWithSpaces>5680</CharactersWithSpaces>
  <SharedDoc>false</SharedDoc>
  <HLinks>
    <vt:vector size="18" baseType="variant">
      <vt:variant>
        <vt:i4>2752615</vt:i4>
      </vt:variant>
      <vt:variant>
        <vt:i4>6</vt:i4>
      </vt:variant>
      <vt:variant>
        <vt:i4>0</vt:i4>
      </vt:variant>
      <vt:variant>
        <vt:i4>5</vt:i4>
      </vt:variant>
      <vt:variant>
        <vt:lpwstr>https://www.sam.gov/portal/public/SAM/</vt:lpwstr>
      </vt:variant>
      <vt:variant>
        <vt:lpwstr/>
      </vt:variant>
      <vt:variant>
        <vt:i4>4522111</vt:i4>
      </vt:variant>
      <vt:variant>
        <vt:i4>3</vt:i4>
      </vt:variant>
      <vt:variant>
        <vt:i4>0</vt:i4>
      </vt:variant>
      <vt:variant>
        <vt:i4>5</vt:i4>
      </vt:variant>
      <vt:variant>
        <vt:lpwstr>mailto:xxxxxxxxx@navy.mil</vt:lpwstr>
      </vt:variant>
      <vt:variant>
        <vt:lpwstr/>
      </vt:variant>
      <vt:variant>
        <vt:i4>6357056</vt:i4>
      </vt:variant>
      <vt:variant>
        <vt:i4>0</vt:i4>
      </vt:variant>
      <vt:variant>
        <vt:i4>0</vt:i4>
      </vt:variant>
      <vt:variant>
        <vt:i4>5</vt:i4>
      </vt:variant>
      <vt:variant>
        <vt:lpwstr>mailto:jolech@dgo.com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1 of</dc:title>
  <dc:creator>pt028638</dc:creator>
  <cp:lastModifiedBy>Tam, Jaime T CIV DLA WEAPONS SUPPORT (USA)</cp:lastModifiedBy>
  <cp:revision>22</cp:revision>
  <cp:lastPrinted>2019-08-16T15:47:00Z</cp:lastPrinted>
  <dcterms:created xsi:type="dcterms:W3CDTF">2025-12-31T19:17:00Z</dcterms:created>
  <dcterms:modified xsi:type="dcterms:W3CDTF">2026-10-13T17:48:00Z</dcterms:modified>
</cp:coreProperties>
</file>